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C" w:rsidRPr="008A642C" w:rsidRDefault="008A642C" w:rsidP="008A642C">
      <w:pPr>
        <w:pBdr>
          <w:bottom w:val="single" w:sz="6" w:space="2" w:color="1B4E82"/>
        </w:pBdr>
        <w:spacing w:after="105" w:line="240" w:lineRule="auto"/>
        <w:outlineLvl w:val="0"/>
        <w:rPr>
          <w:rFonts w:ascii="Tahoma" w:eastAsia="Times New Roman" w:hAnsi="Tahoma" w:cs="Tahoma"/>
          <w:color w:val="1B4E82"/>
          <w:kern w:val="36"/>
          <w:sz w:val="30"/>
          <w:szCs w:val="30"/>
          <w:lang w:eastAsia="ru-RU"/>
        </w:rPr>
      </w:pPr>
      <w:r w:rsidRPr="008A642C">
        <w:rPr>
          <w:rFonts w:ascii="Tahoma" w:eastAsia="Times New Roman" w:hAnsi="Tahoma" w:cs="Tahoma"/>
          <w:color w:val="1B4E82"/>
          <w:kern w:val="36"/>
          <w:sz w:val="30"/>
          <w:szCs w:val="30"/>
          <w:lang w:eastAsia="ru-RU"/>
        </w:rPr>
        <w:t>Порядок внесения изменений в реестр лицензий на осуществление деятельности по управлению многоквартирными домами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Приказ Министерства строительства и жилищно-коммунального хозяйства Российской Федерации от 25.12.2015 № 938/</w:t>
      </w:r>
      <w:proofErr w:type="spellStart"/>
      <w:proofErr w:type="gram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пр</w:t>
      </w:r>
      <w:proofErr w:type="spellEnd"/>
      <w:proofErr w:type="gramEnd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 xml:space="preserve"> «Об утверждении Порядка и сроков внесения изменений в реестр лицензий субъекта Российской Федерации» вступает в силу с 23.04.2016.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Начиная с указанной даты, изменения в реестр вносятся на основании заявления лицензиата</w:t>
      </w:r>
      <w:r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.</w:t>
      </w: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 xml:space="preserve"> При этом к заявлению должны быть приложены следующие документы: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а) копия протокола общего собрания собственников о выборе способа управления многоквартирным домом управляющей организацией и заключении договора управления с лицензиатом либо об изменении способа управления многоквартирным домом или расторжении договора управления с лицензиатом в случае проведения такого собрания;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proofErr w:type="gram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б) копия протокола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конкурса;</w:t>
      </w:r>
      <w:proofErr w:type="gramEnd"/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в) копия договора управления, заключенного лицензиатом с собственниками помещений в многоквартирном доме, а в случае выбора лицензиата управляющей организацией по результатам открытого конкурса по отбору управляющей организации – копия договора управления, подписанного заявителем;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г) копия акта приема-передачи технической документации и иных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реестра;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proofErr w:type="spell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д</w:t>
      </w:r>
      <w:proofErr w:type="spellEnd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) документ, подтверждающий полномочия представителя лицензиата (в случае, если от имени лицензиата обращается его уполномоченный представитель;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е) опись представляемых документов с указанием наименования и реквизитов каждого документа и количества листов, подписанная лицензиатом (уполномоченным представителем лицензиата).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Рассмотрение заявления и перечисленных документов в течение десяти рабочих дней.</w:t>
      </w:r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proofErr w:type="gram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 xml:space="preserve">Орган </w:t>
      </w:r>
      <w:proofErr w:type="spell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госжилнадзора</w:t>
      </w:r>
      <w:proofErr w:type="spellEnd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 xml:space="preserve"> проводит проверку на предмет отсутствия споров по вопросу определения лица, правомочного осуществлять управление многоквартирным домом, сведения о котором указаны в заявлении, а также соблюдения лицензиатом требования о размещении указанной в заявлении информации на официальном сайте для раскрытия информации в соответствии с частью 2 статьи 198 Жилищного кодекса Российской Федерации.</w:t>
      </w:r>
      <w:proofErr w:type="gramEnd"/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proofErr w:type="gramStart"/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Рассмотрение заявления приостанавливается в случае предоставления лицензиатом недостоверных сведений в заявлении и прилагаемых документах, наличия противоречий сведений, представленных лицензиатом, сведениям, уже содержащимся в реестре на момент рассмотрения заявления, а также в случае поступления в орган государственного жилищного надзора в течение 10 рабочих дней заявления от другого лицензиата, содержащего сведения в отношении того же многоквартирного дома.</w:t>
      </w:r>
      <w:proofErr w:type="gramEnd"/>
    </w:p>
    <w:p w:rsidR="008A642C" w:rsidRPr="008A642C" w:rsidRDefault="008A642C" w:rsidP="008A642C">
      <w:pPr>
        <w:spacing w:before="100" w:beforeAutospacing="1" w:after="300" w:line="270" w:lineRule="atLeast"/>
        <w:rPr>
          <w:rFonts w:ascii="Tahoma" w:eastAsia="Times New Roman" w:hAnsi="Tahoma" w:cs="Tahoma"/>
          <w:color w:val="3A3939"/>
          <w:sz w:val="18"/>
          <w:szCs w:val="18"/>
          <w:lang w:eastAsia="ru-RU"/>
        </w:rPr>
      </w:pPr>
      <w:r w:rsidRPr="008A642C">
        <w:rPr>
          <w:rFonts w:ascii="Tahoma" w:eastAsia="Times New Roman" w:hAnsi="Tahoma" w:cs="Tahoma"/>
          <w:color w:val="3A3939"/>
          <w:sz w:val="18"/>
          <w:szCs w:val="18"/>
          <w:lang w:eastAsia="ru-RU"/>
        </w:rPr>
        <w:t>Основаниями для отказа во внесении изменений в реестр лицензий являются судебные споры по вопросу правомочности управления, неполный комплект документов, отсутствие оснований для внесения изменений в реестр.</w:t>
      </w:r>
    </w:p>
    <w:p w:rsidR="00582C39" w:rsidRDefault="008A642C"/>
    <w:sectPr w:rsidR="00582C39" w:rsidSect="00A7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42C"/>
    <w:rsid w:val="000135FB"/>
    <w:rsid w:val="00327028"/>
    <w:rsid w:val="00516F29"/>
    <w:rsid w:val="005E3A06"/>
    <w:rsid w:val="008A642C"/>
    <w:rsid w:val="00A755EE"/>
    <w:rsid w:val="00B70674"/>
    <w:rsid w:val="00FE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E"/>
  </w:style>
  <w:style w:type="paragraph" w:styleId="1">
    <w:name w:val="heading 1"/>
    <w:basedOn w:val="a"/>
    <w:link w:val="10"/>
    <w:uiPriority w:val="9"/>
    <w:qFormat/>
    <w:rsid w:val="008A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2016-05-23T09:10:00Z</dcterms:created>
  <dcterms:modified xsi:type="dcterms:W3CDTF">2016-05-23T09:15:00Z</dcterms:modified>
</cp:coreProperties>
</file>